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Default="0022128D" w:rsidP="002123B4">
      <w:pPr>
        <w:tabs>
          <w:tab w:val="left" w:pos="2880"/>
          <w:tab w:val="center" w:pos="5102"/>
        </w:tabs>
        <w:jc w:val="center"/>
        <w:rPr>
          <w:b/>
          <w:bCs/>
        </w:rPr>
      </w:pPr>
      <w:r>
        <w:rPr>
          <w:b/>
          <w:bCs/>
        </w:rPr>
        <w:t>21</w:t>
      </w:r>
      <w:r w:rsidR="002123B4">
        <w:rPr>
          <w:b/>
          <w:bCs/>
        </w:rPr>
        <w:t xml:space="preserve"> ноября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7F6CF6" w:rsidRPr="00665188" w:rsidRDefault="007F6CF6" w:rsidP="00665188">
      <w:pPr>
        <w:tabs>
          <w:tab w:val="left" w:pos="2880"/>
          <w:tab w:val="center" w:pos="5102"/>
        </w:tabs>
        <w:jc w:val="center"/>
        <w:rPr>
          <w:b/>
          <w:bCs/>
        </w:rPr>
      </w:pPr>
    </w:p>
    <w:p w:rsidR="0022128D" w:rsidRDefault="0022128D" w:rsidP="0022128D">
      <w:pPr>
        <w:ind w:firstLine="708"/>
        <w:jc w:val="both"/>
        <w:rPr>
          <w:b/>
        </w:rPr>
      </w:pPr>
      <w:r>
        <w:rPr>
          <w:b/>
        </w:rPr>
        <w:t>1. О проекте закона Республики Тыва «О внесении изменений в Закон Республики Тыва «Об экологической экспертизе в Республике Тыва»</w:t>
      </w:r>
    </w:p>
    <w:p w:rsidR="0022128D" w:rsidRDefault="0022128D" w:rsidP="0022128D">
      <w:pPr>
        <w:ind w:firstLine="708"/>
        <w:jc w:val="both"/>
      </w:pPr>
      <w:r w:rsidRPr="0022128D">
        <w:t>Проект постановления разработан Министерством лесного хозяйства и природопользования</w:t>
      </w:r>
      <w:r>
        <w:t xml:space="preserve"> Республики Тыва. </w:t>
      </w:r>
    </w:p>
    <w:p w:rsidR="0022128D" w:rsidRDefault="0022128D" w:rsidP="0022128D">
      <w:pPr>
        <w:ind w:firstLine="708"/>
        <w:jc w:val="both"/>
      </w:pPr>
      <w:r>
        <w:t xml:space="preserve">В связи с принятием </w:t>
      </w:r>
      <w:r>
        <w:t>Ф</w:t>
      </w:r>
      <w:r>
        <w:t>едерального закона от 4 августа 2023 г. № 449-ФЗ «О внесении изменений в отдельные законодательные акты Российской Федерации», которыми внесены изменения в Федеральный закон от 23 ноября 1995 г. № 174-ФЗ «Об экологической экспертизе Республике Тыва» (далее – Федеральный закон № 449-ФЗ).</w:t>
      </w:r>
    </w:p>
    <w:p w:rsidR="0022128D" w:rsidRDefault="0022128D" w:rsidP="0022128D">
      <w:pPr>
        <w:ind w:firstLine="708"/>
        <w:jc w:val="both"/>
      </w:pPr>
      <w:r>
        <w:t>В связи с чем необходимо внесение изменений в статьи 5, 7, 10, 12, 16 и 18 Закона Республики Тыва от 26 июня 2007 года № 142 ВХ-II «Об экологической экспертизе в Республики Тыва» (далее – Закон РТ № 142 ВХ-II), а именно:</w:t>
      </w:r>
    </w:p>
    <w:p w:rsidR="0022128D" w:rsidRDefault="0022128D" w:rsidP="0022128D">
      <w:pPr>
        <w:ind w:firstLine="708"/>
        <w:jc w:val="both"/>
      </w:pPr>
      <w:r>
        <w:t>1) в статье 5:</w:t>
      </w:r>
    </w:p>
    <w:p w:rsidR="0022128D" w:rsidRDefault="0022128D" w:rsidP="0022128D">
      <w:pPr>
        <w:ind w:firstLine="708"/>
        <w:jc w:val="both"/>
      </w:pPr>
      <w:r>
        <w:t>в пункте 3 слова «делегирование экспертов в качестве наблюдателей на заседания» заменить словами «делегирование экспертов для участия в качестве наблюдателей в заседаниях»;</w:t>
      </w:r>
    </w:p>
    <w:p w:rsidR="0022128D" w:rsidRDefault="0022128D" w:rsidP="0022128D">
      <w:pPr>
        <w:ind w:firstLine="708"/>
        <w:jc w:val="both"/>
      </w:pPr>
      <w:r>
        <w:t>дополнить пунктом 6 следующего содержания:</w:t>
      </w:r>
    </w:p>
    <w:p w:rsidR="0022128D" w:rsidRDefault="0022128D" w:rsidP="0022128D">
      <w:pPr>
        <w:ind w:firstLine="708"/>
        <w:jc w:val="both"/>
      </w:pPr>
      <w:r>
        <w:t>«6) разработка и 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Республики Тыва.»;</w:t>
      </w:r>
    </w:p>
    <w:p w:rsidR="0022128D" w:rsidRDefault="0022128D" w:rsidP="0022128D">
      <w:pPr>
        <w:ind w:firstLine="708"/>
        <w:jc w:val="both"/>
      </w:pPr>
      <w:r>
        <w:t>2) в абзаце втором статьи 7 слова «и иных нормативных правовых актов» исключить;</w:t>
      </w:r>
    </w:p>
    <w:p w:rsidR="0022128D" w:rsidRDefault="0022128D" w:rsidP="0022128D">
      <w:pPr>
        <w:ind w:firstLine="708"/>
        <w:jc w:val="both"/>
      </w:pPr>
      <w:r>
        <w:t xml:space="preserve">3) в статье 10: </w:t>
      </w:r>
    </w:p>
    <w:p w:rsidR="0022128D" w:rsidRDefault="0022128D" w:rsidP="0022128D">
      <w:pPr>
        <w:ind w:firstLine="708"/>
        <w:jc w:val="both"/>
      </w:pPr>
      <w:r>
        <w:t>в части 5:</w:t>
      </w:r>
    </w:p>
    <w:p w:rsidR="0022128D" w:rsidRDefault="0022128D" w:rsidP="0022128D">
      <w:pPr>
        <w:ind w:firstLine="708"/>
        <w:jc w:val="both"/>
      </w:pPr>
      <w:r>
        <w:t>слова «пятнадцать дней» заменить словами «пять рабочих дней»;</w:t>
      </w:r>
    </w:p>
    <w:p w:rsidR="0022128D" w:rsidRDefault="0022128D" w:rsidP="0022128D">
      <w:pPr>
        <w:ind w:firstLine="708"/>
        <w:jc w:val="both"/>
      </w:pPr>
      <w:r>
        <w:t>цифру «2» заменить цифрой «3»;</w:t>
      </w:r>
    </w:p>
    <w:p w:rsidR="0022128D" w:rsidRDefault="0022128D" w:rsidP="0022128D">
      <w:pPr>
        <w:ind w:firstLine="708"/>
        <w:jc w:val="both"/>
      </w:pPr>
      <w:r>
        <w:t>в части 6:</w:t>
      </w:r>
    </w:p>
    <w:p w:rsidR="0022128D" w:rsidRDefault="0022128D" w:rsidP="0022128D">
      <w:pPr>
        <w:ind w:firstLine="708"/>
        <w:jc w:val="both"/>
      </w:pPr>
      <w:r>
        <w:t>слова «два месяца» заменить словами «сорок два рабочих дня»;</w:t>
      </w:r>
    </w:p>
    <w:p w:rsidR="0022128D" w:rsidRDefault="0022128D" w:rsidP="0022128D">
      <w:pPr>
        <w:ind w:firstLine="708"/>
        <w:jc w:val="both"/>
      </w:pPr>
      <w:r>
        <w:t>слова «один месяц» заменить словами «двадцать рабочих дней»;</w:t>
      </w:r>
    </w:p>
    <w:p w:rsidR="0022128D" w:rsidRDefault="0022128D" w:rsidP="0022128D">
      <w:pPr>
        <w:ind w:firstLine="708"/>
        <w:jc w:val="both"/>
      </w:pPr>
      <w:r>
        <w:t>в части 7 после слов «отвечающее требованиям» дополнить словами «статьи 18»;</w:t>
      </w:r>
    </w:p>
    <w:p w:rsidR="0022128D" w:rsidRDefault="0022128D" w:rsidP="0022128D">
      <w:pPr>
        <w:ind w:firstLine="708"/>
        <w:jc w:val="both"/>
      </w:pPr>
      <w:r>
        <w:t>4) статью 12 дополнить частью 6.1 следующего содержания:</w:t>
      </w:r>
    </w:p>
    <w:p w:rsidR="0022128D" w:rsidRDefault="0022128D" w:rsidP="0022128D">
      <w:pPr>
        <w:ind w:firstLine="708"/>
        <w:jc w:val="both"/>
      </w:pPr>
      <w:r>
        <w:t>«6.1. Сведения о заключении государственной экологической экспертизы размещаются на официальном сайте уполномоченного органа исполнительной власти Республики Тыва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rsidR="0022128D" w:rsidRDefault="0022128D" w:rsidP="0022128D">
      <w:pPr>
        <w:ind w:firstLine="708"/>
        <w:jc w:val="both"/>
      </w:pPr>
      <w:r>
        <w:t>5) статью 16 дополнить частью 4 следующего содержания:</w:t>
      </w:r>
    </w:p>
    <w:p w:rsidR="0022128D" w:rsidRDefault="0022128D" w:rsidP="0022128D">
      <w:pPr>
        <w:ind w:firstLine="708"/>
        <w:jc w:val="both"/>
      </w:pPr>
      <w:r>
        <w:t>«4. 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22128D" w:rsidRDefault="0022128D" w:rsidP="0022128D">
      <w:pPr>
        <w:ind w:firstLine="708"/>
        <w:jc w:val="both"/>
      </w:pPr>
      <w:r>
        <w:t>6) в абзаце шестом части 1 статьи 18 слова «Федеральным законом «Об экологической экспертизе»» заменить словами «статьей 17 настоящего Закона».</w:t>
      </w:r>
    </w:p>
    <w:p w:rsidR="0022128D" w:rsidRDefault="0022128D" w:rsidP="0022128D">
      <w:pPr>
        <w:ind w:firstLine="708"/>
        <w:jc w:val="both"/>
        <w:rPr>
          <w:b/>
          <w:highlight w:val="yellow"/>
        </w:rPr>
      </w:pPr>
    </w:p>
    <w:p w:rsidR="0022128D" w:rsidRDefault="0022128D" w:rsidP="0022128D">
      <w:pPr>
        <w:ind w:firstLine="708"/>
        <w:jc w:val="both"/>
        <w:rPr>
          <w:b/>
        </w:rPr>
      </w:pPr>
      <w:r>
        <w:rPr>
          <w:b/>
        </w:rPr>
        <w:t>2. О проекте закона Республики Тыва «О внесении изменений в Закон Республики Тыва «О наделении органов местного самоуправления муниципальных районов и городских округов Республики Тыва отдельными государственными полномочиями по опеке и попечительству в отношении несовершеннолетних,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22128D" w:rsidRDefault="0022128D" w:rsidP="0022128D">
      <w:pPr>
        <w:ind w:firstLine="708"/>
        <w:jc w:val="both"/>
      </w:pPr>
      <w:r>
        <w:lastRenderedPageBreak/>
        <w:t xml:space="preserve">Проект постановления разработан Министерством </w:t>
      </w:r>
      <w:r>
        <w:t>образования</w:t>
      </w:r>
      <w:r>
        <w:t xml:space="preserve"> Республики Тыва</w:t>
      </w:r>
      <w:r>
        <w:t xml:space="preserve"> </w:t>
      </w:r>
      <w:r>
        <w:t xml:space="preserve">по результатам рассмотрения представления </w:t>
      </w:r>
      <w:r>
        <w:t>п</w:t>
      </w:r>
      <w:r>
        <w:t xml:space="preserve">рокуратуры Республики Тыва об устранении нарушений законодательства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p w:rsidR="0022128D" w:rsidRDefault="0022128D" w:rsidP="0022128D">
      <w:pPr>
        <w:ind w:firstLine="708"/>
        <w:jc w:val="both"/>
      </w:pPr>
      <w:r>
        <w:t xml:space="preserve">В соответствии с действующим Законом Республики Тыва от 04 мая 2023 года №933-ЗРТ о наделении органов местного самоуправления отдельными государственными полномочиями по опеке и попечительству органы местного самоуправления республики наделены государственными полномочиями по предоставлению детям-сиротам и детям, оставшимся без попечения родителей, жилых помещений специализированного жилищного фонда по договорам найма. </w:t>
      </w:r>
    </w:p>
    <w:p w:rsidR="0022128D" w:rsidRDefault="0022128D" w:rsidP="0022128D">
      <w:pPr>
        <w:ind w:firstLine="708"/>
        <w:jc w:val="both"/>
      </w:pPr>
      <w:r>
        <w:t xml:space="preserve">Но в нарушение действующего федерального законодательства закон Республики Тыва не содержит способа (методику) расчета нормативов для определения общего объема субвенций, предоставляемых местным бюджетам из бюджета Республики Тыва для осуществления полномочий по предоставлению жилых помещений специализированного жилищного фонда детям-сиротам и детям, оставшимся без попечения родителей.     </w:t>
      </w:r>
    </w:p>
    <w:p w:rsidR="0022128D" w:rsidRDefault="0022128D" w:rsidP="0022128D">
      <w:pPr>
        <w:ind w:firstLine="708"/>
        <w:jc w:val="both"/>
        <w:rPr>
          <w:b/>
        </w:rPr>
      </w:pPr>
      <w:r>
        <w:t xml:space="preserve">В целях </w:t>
      </w:r>
      <w:proofErr w:type="spellStart"/>
      <w:r>
        <w:t>избежания</w:t>
      </w:r>
      <w:proofErr w:type="spellEnd"/>
      <w:r>
        <w:t xml:space="preserve"> противоречия федеральному законодательству проектом закона предлагается полномочия по обеспечению жильем детей-сирот и детей, оставшихся без попечения родителей, оставить на региональном уровне за Министерством образования Республики Тыва и исключить данные полномочия из перечня переданных полномочий органам местного самоуправления.    </w:t>
      </w:r>
    </w:p>
    <w:p w:rsidR="0022128D" w:rsidRDefault="0022128D" w:rsidP="0022128D">
      <w:pPr>
        <w:ind w:firstLine="708"/>
        <w:rPr>
          <w:b/>
          <w:highlight w:val="yellow"/>
        </w:rPr>
      </w:pPr>
    </w:p>
    <w:p w:rsidR="0022128D" w:rsidRDefault="0022128D" w:rsidP="0022128D">
      <w:pPr>
        <w:ind w:firstLine="708"/>
        <w:jc w:val="both"/>
        <w:rPr>
          <w:b/>
        </w:rPr>
      </w:pPr>
      <w:r>
        <w:rPr>
          <w:b/>
        </w:rPr>
        <w:t>3. Об утверждении Порядка предоставлении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лиц, потреблявших наркотические средства и психотропные вещества в немедицинских целях, на реализацию социально значимых проектов</w:t>
      </w:r>
    </w:p>
    <w:p w:rsidR="001671C9" w:rsidRDefault="001671C9" w:rsidP="0022128D">
      <w:pPr>
        <w:ind w:firstLine="708"/>
        <w:jc w:val="both"/>
        <w:rPr>
          <w:b/>
          <w:highlight w:val="yellow"/>
        </w:rPr>
      </w:pPr>
      <w:r>
        <w:t xml:space="preserve">Проект постановления разработан Министерством </w:t>
      </w:r>
      <w:r>
        <w:t xml:space="preserve">труда и социальной политики Республики Тыва в целях </w:t>
      </w:r>
      <w:r w:rsidRPr="001671C9">
        <w:t>приведени</w:t>
      </w:r>
      <w:r>
        <w:t>я</w:t>
      </w:r>
      <w:r w:rsidRPr="001671C9">
        <w:t xml:space="preserve"> нормативно-правового акта по предоставлению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социально-значимых проектов (далее – субсидия)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Правительства Российской федерации от 18.09.2020 № 1492.</w:t>
      </w:r>
    </w:p>
    <w:p w:rsidR="0022128D" w:rsidRDefault="0022128D" w:rsidP="0022128D">
      <w:pPr>
        <w:ind w:firstLine="708"/>
        <w:jc w:val="both"/>
        <w:rPr>
          <w:b/>
        </w:rPr>
      </w:pPr>
    </w:p>
    <w:p w:rsidR="0022128D" w:rsidRDefault="0022128D" w:rsidP="0022128D">
      <w:pPr>
        <w:ind w:firstLine="708"/>
        <w:jc w:val="both"/>
        <w:rPr>
          <w:b/>
        </w:rPr>
      </w:pPr>
      <w:r>
        <w:rPr>
          <w:b/>
        </w:rPr>
        <w:t xml:space="preserve">4. О внесении изменений в постановление Правительства Республики Тыва от 7 июля 2016 г. № 292 </w:t>
      </w:r>
    </w:p>
    <w:p w:rsidR="001671C9" w:rsidRDefault="00606407" w:rsidP="0022128D">
      <w:pPr>
        <w:ind w:firstLine="708"/>
        <w:jc w:val="both"/>
      </w:pPr>
      <w:r>
        <w:t xml:space="preserve">Проект постановления разработан Министерством </w:t>
      </w:r>
      <w:r>
        <w:t>труда и социальной политики</w:t>
      </w:r>
      <w:r>
        <w:t xml:space="preserve"> Республики Тыва.</w:t>
      </w:r>
    </w:p>
    <w:p w:rsidR="00606407" w:rsidRPr="00606407" w:rsidRDefault="00606407" w:rsidP="00606407">
      <w:pPr>
        <w:ind w:firstLine="708"/>
        <w:jc w:val="both"/>
      </w:pPr>
      <w:r>
        <w:t>П</w:t>
      </w:r>
      <w:r w:rsidRPr="00606407">
        <w:t>роектом постановления предлагается привести в соответствие наименование постановления Правительства Республики Тыва от 7 июля 2016 г. № 292, так как предлагается включить  ГБУ «Центр административно-хозяйственного обеспечения», а также доведение доплаты за особые условия работы в отрасли социального обслуживания и обеспечения к должностным окладам в размере 25 процентов, за качество выполняемых работ от 75 до 220 процентов в зависимости от должностей (по причине текучести кадров из-за низкого уровня заработной платы по сравнению с другими отраслями а также не достижения уровня заработной платы до средней заработной платы по региону «указных» категорий работников), так как без введения дополнительных доплат и надбавок при действующем начислении средняя заработная плата специалистов с высшим образованием и стажем, молодых специалистов без стажа остается на уровне минимальной заработной платы в республике.</w:t>
      </w:r>
    </w:p>
    <w:p w:rsidR="00606407" w:rsidRPr="00606407" w:rsidRDefault="00606407" w:rsidP="00606407">
      <w:pPr>
        <w:ind w:firstLine="708"/>
        <w:jc w:val="both"/>
      </w:pPr>
    </w:p>
    <w:p w:rsidR="00606407" w:rsidRPr="00606407" w:rsidRDefault="00606407" w:rsidP="00606407">
      <w:pPr>
        <w:ind w:firstLine="708"/>
        <w:jc w:val="both"/>
      </w:pPr>
      <w:r w:rsidRPr="00606407">
        <w:t>Принятие проекта постановления позволит повысить уровень средней заработной платы работников подведомственных учреждений Министерства до уровня средней заработной платы в Республике Тыва, так как средняя заработная плата сотрудников учреждений за последние 5 лет находится на уровне МРОТа (32 учреждения для 1543 сотрудников), а также повысить уровень заработной платы до средней заработной платы по региону «указных» категорий работников (врачи, средний и младший медицинский персонал,  социальные работники, педагогические работники, оказывающие услуги детям-сиротам и детям, оставшимся без попечения родителей).</w:t>
      </w:r>
    </w:p>
    <w:p w:rsidR="00606407" w:rsidRPr="00606407" w:rsidRDefault="00606407" w:rsidP="00606407">
      <w:pPr>
        <w:ind w:firstLine="708"/>
        <w:jc w:val="both"/>
      </w:pPr>
      <w:r w:rsidRPr="00606407">
        <w:t>Показатель текучести кадров в данных учреждениях находится на очень высоком уровне. Основной причиной является неудовлетворенность работников уровнем заработной платой.</w:t>
      </w:r>
    </w:p>
    <w:p w:rsidR="00606407" w:rsidRDefault="00606407" w:rsidP="00606407">
      <w:pPr>
        <w:ind w:firstLine="708"/>
        <w:jc w:val="both"/>
        <w:rPr>
          <w:b/>
        </w:rPr>
      </w:pPr>
      <w:r w:rsidRPr="00606407">
        <w:t>В связи с этим, проектом постановления предлагается в целях мотивации работников в зависимости от их квалификации, стажа и опыта работы поднять до уровня средней заработной платы по Республике Тыва.</w:t>
      </w:r>
    </w:p>
    <w:p w:rsidR="0022128D" w:rsidRDefault="0022128D" w:rsidP="0022128D">
      <w:pPr>
        <w:ind w:firstLine="708"/>
        <w:rPr>
          <w:b/>
          <w:highlight w:val="yellow"/>
        </w:rPr>
      </w:pPr>
    </w:p>
    <w:p w:rsidR="0022128D" w:rsidRDefault="0022128D" w:rsidP="0022128D">
      <w:pPr>
        <w:ind w:firstLine="708"/>
        <w:jc w:val="both"/>
        <w:rPr>
          <w:b/>
        </w:rPr>
      </w:pPr>
      <w:r>
        <w:rPr>
          <w:b/>
        </w:rPr>
        <w:t xml:space="preserve">5. О внесении изменений в постановление Правительства Республики Тыва от 30 августа 2023 г. № 650 </w:t>
      </w:r>
    </w:p>
    <w:p w:rsidR="00141E72" w:rsidRDefault="00606407" w:rsidP="00141E72">
      <w:pPr>
        <w:ind w:firstLine="708"/>
        <w:jc w:val="both"/>
      </w:pPr>
      <w:r>
        <w:t xml:space="preserve">Проект постановления разработан Министерством </w:t>
      </w:r>
      <w:r>
        <w:t xml:space="preserve">топлива и </w:t>
      </w:r>
      <w:r w:rsidR="007C01C3">
        <w:t>энергетики</w:t>
      </w:r>
      <w:r w:rsidR="00141E72">
        <w:t xml:space="preserve"> Республики Тыва на основании </w:t>
      </w:r>
      <w:r w:rsidR="00141E72">
        <w:t>постановлени</w:t>
      </w:r>
      <w:r w:rsidR="00141E72">
        <w:t xml:space="preserve">я </w:t>
      </w:r>
      <w:r w:rsidR="00141E72">
        <w:t xml:space="preserve">Правительства РФ от 26.02.2010 г. № 96 «Об </w:t>
      </w:r>
      <w:proofErr w:type="spellStart"/>
      <w:r w:rsidR="00141E72">
        <w:t>антикоррупицонной</w:t>
      </w:r>
      <w:proofErr w:type="spellEnd"/>
      <w:r w:rsidR="00141E72">
        <w:t xml:space="preserve"> экспертизе нормативно правовых актов и проектов нормативных правовых </w:t>
      </w:r>
      <w:proofErr w:type="gramStart"/>
      <w:r w:rsidR="00141E72">
        <w:t>актов»</w:t>
      </w:r>
      <w:r w:rsidR="00141E72">
        <w:t xml:space="preserve">  в</w:t>
      </w:r>
      <w:proofErr w:type="gramEnd"/>
      <w:r w:rsidR="00141E72">
        <w:t xml:space="preserve"> связи с </w:t>
      </w:r>
      <w:r w:rsidR="00141E72">
        <w:t>возникновение</w:t>
      </w:r>
      <w:r w:rsidR="00141E72">
        <w:t>м</w:t>
      </w:r>
      <w:r w:rsidR="00141E72">
        <w:t xml:space="preserve"> нормативной коллизии возможности произвольного выбора норм, что является </w:t>
      </w:r>
      <w:proofErr w:type="spellStart"/>
      <w:r w:rsidR="00141E72">
        <w:t>коррупциогенным</w:t>
      </w:r>
      <w:proofErr w:type="spellEnd"/>
      <w:r w:rsidR="00141E72">
        <w:t xml:space="preserve"> фактором.</w:t>
      </w:r>
    </w:p>
    <w:p w:rsidR="00606407" w:rsidRDefault="00141E72" w:rsidP="00141E72">
      <w:pPr>
        <w:ind w:firstLine="708"/>
        <w:jc w:val="both"/>
      </w:pPr>
      <w:r>
        <w:t>П</w:t>
      </w:r>
      <w:r>
        <w:t>ринятие изменений в постановление Правительства Республики Тыва от 30.08.2023 г. № 650, позволит исключить возникновение нормативной коллизии</w:t>
      </w:r>
      <w:r>
        <w:t xml:space="preserve"> -</w:t>
      </w:r>
      <w:r>
        <w:t xml:space="preserve"> возможности произвольного выбора норм, подлежащих применению в конкретном случае, что является </w:t>
      </w:r>
      <w:proofErr w:type="spellStart"/>
      <w:r>
        <w:t>коррупциогенным</w:t>
      </w:r>
      <w:proofErr w:type="spellEnd"/>
      <w:r>
        <w:t xml:space="preserve"> фактором в силу подпункта «и» пункта 3 Методики проведения антикоррупционной экспертизы нормативно-правовых актов и проектов нормативных правовых актов, утвержденной постановлением Правительства РФ от 26.02.2010 г. № 96 «Об </w:t>
      </w:r>
      <w:proofErr w:type="spellStart"/>
      <w:r>
        <w:t>антикоррупицонной</w:t>
      </w:r>
      <w:proofErr w:type="spellEnd"/>
      <w:r>
        <w:t xml:space="preserve"> экспертизе нормативно правовых актов и проектов нормативных правовых актов».</w:t>
      </w:r>
    </w:p>
    <w:p w:rsidR="00141E72" w:rsidRDefault="00141E72" w:rsidP="0022128D">
      <w:pPr>
        <w:ind w:firstLine="708"/>
        <w:jc w:val="both"/>
        <w:rPr>
          <w:b/>
          <w:highlight w:val="yellow"/>
        </w:rPr>
      </w:pPr>
    </w:p>
    <w:p w:rsidR="0022128D" w:rsidRDefault="0022128D" w:rsidP="0022128D">
      <w:pPr>
        <w:ind w:firstLine="708"/>
        <w:jc w:val="both"/>
        <w:rPr>
          <w:b/>
        </w:rPr>
      </w:pPr>
      <w:r>
        <w:rPr>
          <w:b/>
        </w:rPr>
        <w:t>6. О внесении изменений в пункт 3.2 Положения о Министерстве здравоохранения Республики Тыва</w:t>
      </w:r>
    </w:p>
    <w:p w:rsidR="00141E72" w:rsidRDefault="00141E72" w:rsidP="0022128D">
      <w:pPr>
        <w:ind w:firstLine="708"/>
        <w:jc w:val="both"/>
        <w:rPr>
          <w:b/>
          <w:highlight w:val="yellow"/>
        </w:rPr>
      </w:pPr>
      <w:r>
        <w:t xml:space="preserve">Проект постановления разработан Министерством </w:t>
      </w:r>
      <w:r>
        <w:t>здравоохранения</w:t>
      </w:r>
      <w:r>
        <w:t xml:space="preserve"> Республики Тыва</w:t>
      </w:r>
      <w:r>
        <w:t xml:space="preserve"> </w:t>
      </w:r>
      <w:r w:rsidRPr="00141E72">
        <w:t>в целях закрепления в Положении полномочия по выдаче заключения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rsidR="0022128D" w:rsidRDefault="0022128D" w:rsidP="0022128D">
      <w:pPr>
        <w:ind w:firstLine="708"/>
        <w:rPr>
          <w:b/>
          <w:highlight w:val="yellow"/>
        </w:rPr>
      </w:pPr>
    </w:p>
    <w:p w:rsidR="0022128D" w:rsidRDefault="0022128D" w:rsidP="0022128D">
      <w:pPr>
        <w:ind w:firstLine="708"/>
        <w:jc w:val="both"/>
        <w:rPr>
          <w:b/>
        </w:rPr>
      </w:pPr>
      <w:r>
        <w:rPr>
          <w:b/>
        </w:rPr>
        <w:t>7. Об утверждении списка победителей конкурса на получение премии Главы Республики Тыва в области науки и техники в 2023 году</w:t>
      </w:r>
    </w:p>
    <w:p w:rsidR="00141E72" w:rsidRDefault="00141E72" w:rsidP="0022128D">
      <w:pPr>
        <w:ind w:firstLine="708"/>
        <w:jc w:val="both"/>
        <w:rPr>
          <w:b/>
          <w:highlight w:val="yellow"/>
        </w:rPr>
      </w:pPr>
      <w:r>
        <w:t xml:space="preserve">Проект постановления разработан </w:t>
      </w:r>
      <w:r>
        <w:t>Агентством по науке</w:t>
      </w:r>
      <w:r>
        <w:t xml:space="preserve"> Респу</w:t>
      </w:r>
      <w:r>
        <w:t xml:space="preserve">блики Тыва в целях поощрения </w:t>
      </w:r>
      <w:r w:rsidRPr="00141E72">
        <w:t>победителей конкурса на получение премии Главы Республики Тыва в области науки и техники</w:t>
      </w:r>
      <w:r>
        <w:t xml:space="preserve"> и </w:t>
      </w:r>
      <w:r w:rsidRPr="00141E72">
        <w:t>стимулирование научно-технического развития и совершенствования системы премирования за достижения в области науки и техники.</w:t>
      </w:r>
      <w:bookmarkStart w:id="0" w:name="_GoBack"/>
      <w:bookmarkEnd w:id="0"/>
    </w:p>
    <w:p w:rsidR="004F2FFD" w:rsidRPr="00342C5E" w:rsidRDefault="004F2FFD" w:rsidP="00A36974">
      <w:pPr>
        <w:ind w:firstLine="708"/>
        <w:jc w:val="both"/>
      </w:pPr>
    </w:p>
    <w:sectPr w:rsidR="004F2FFD" w:rsidRPr="00342C5E"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13" w:rsidRDefault="00372413" w:rsidP="00E25FBB">
      <w:r>
        <w:separator/>
      </w:r>
    </w:p>
  </w:endnote>
  <w:endnote w:type="continuationSeparator" w:id="0">
    <w:p w:rsidR="00372413" w:rsidRDefault="00372413"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13" w:rsidRDefault="00372413" w:rsidP="00E25FBB">
      <w:r>
        <w:separator/>
      </w:r>
    </w:p>
  </w:footnote>
  <w:footnote w:type="continuationSeparator" w:id="0">
    <w:p w:rsidR="00372413" w:rsidRDefault="00372413"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41E72">
      <w:rPr>
        <w:rStyle w:val="a4"/>
        <w:noProof/>
      </w:rPr>
      <w:t>2</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806"/>
    <w:rsid w:val="00012D53"/>
    <w:rsid w:val="00012DA1"/>
    <w:rsid w:val="0001341A"/>
    <w:rsid w:val="000148FC"/>
    <w:rsid w:val="00014975"/>
    <w:rsid w:val="0001499E"/>
    <w:rsid w:val="000152A4"/>
    <w:rsid w:val="0001618E"/>
    <w:rsid w:val="0001651D"/>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87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482"/>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3951"/>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0E"/>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E72"/>
    <w:rsid w:val="00141F7A"/>
    <w:rsid w:val="0014202D"/>
    <w:rsid w:val="00142076"/>
    <w:rsid w:val="001427A6"/>
    <w:rsid w:val="00142880"/>
    <w:rsid w:val="00142D02"/>
    <w:rsid w:val="001432DE"/>
    <w:rsid w:val="0014360D"/>
    <w:rsid w:val="0014378D"/>
    <w:rsid w:val="00144906"/>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BAC"/>
    <w:rsid w:val="00164C3D"/>
    <w:rsid w:val="0016521C"/>
    <w:rsid w:val="00165839"/>
    <w:rsid w:val="00165A48"/>
    <w:rsid w:val="001663B3"/>
    <w:rsid w:val="0016704A"/>
    <w:rsid w:val="001671C9"/>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A04"/>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D0"/>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01A"/>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23B4"/>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8D"/>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0E"/>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68A"/>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708"/>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4BAB"/>
    <w:rsid w:val="002A5212"/>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B7D6D"/>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4244"/>
    <w:rsid w:val="002F4601"/>
    <w:rsid w:val="002F4626"/>
    <w:rsid w:val="002F4855"/>
    <w:rsid w:val="002F48C8"/>
    <w:rsid w:val="002F4F35"/>
    <w:rsid w:val="002F503C"/>
    <w:rsid w:val="002F5326"/>
    <w:rsid w:val="002F5811"/>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0BB"/>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C5E"/>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1DE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13"/>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948"/>
    <w:rsid w:val="003B7CE1"/>
    <w:rsid w:val="003B7E19"/>
    <w:rsid w:val="003C08A7"/>
    <w:rsid w:val="003C1D73"/>
    <w:rsid w:val="003C2977"/>
    <w:rsid w:val="003C2C2F"/>
    <w:rsid w:val="003C2F06"/>
    <w:rsid w:val="003C335B"/>
    <w:rsid w:val="003C387E"/>
    <w:rsid w:val="003C3D24"/>
    <w:rsid w:val="003C3F0B"/>
    <w:rsid w:val="003C4658"/>
    <w:rsid w:val="003C49F2"/>
    <w:rsid w:val="003C51BC"/>
    <w:rsid w:val="003C5363"/>
    <w:rsid w:val="003C539D"/>
    <w:rsid w:val="003C598A"/>
    <w:rsid w:val="003C5C2F"/>
    <w:rsid w:val="003C5C45"/>
    <w:rsid w:val="003C5D5D"/>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4A7"/>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AFF"/>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029"/>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ADF"/>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674"/>
    <w:rsid w:val="004F0B0B"/>
    <w:rsid w:val="004F0D5B"/>
    <w:rsid w:val="004F1267"/>
    <w:rsid w:val="004F18CC"/>
    <w:rsid w:val="004F1944"/>
    <w:rsid w:val="004F241C"/>
    <w:rsid w:val="004F2460"/>
    <w:rsid w:val="004F2C09"/>
    <w:rsid w:val="004F2E0C"/>
    <w:rsid w:val="004F2FFD"/>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95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37D9E"/>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BA0"/>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35B8"/>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4B"/>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640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5B9"/>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836"/>
    <w:rsid w:val="00643AE7"/>
    <w:rsid w:val="00645845"/>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1A9"/>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6E"/>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1C3"/>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E8F"/>
    <w:rsid w:val="007D22DE"/>
    <w:rsid w:val="007D23A5"/>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C50"/>
    <w:rsid w:val="007D6DC5"/>
    <w:rsid w:val="007D707F"/>
    <w:rsid w:val="007D73A6"/>
    <w:rsid w:val="007D7919"/>
    <w:rsid w:val="007D7A6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CF6"/>
    <w:rsid w:val="007F6DC2"/>
    <w:rsid w:val="007F6F6A"/>
    <w:rsid w:val="007F71BC"/>
    <w:rsid w:val="007F7A4A"/>
    <w:rsid w:val="007F7D65"/>
    <w:rsid w:val="00800C9B"/>
    <w:rsid w:val="00801696"/>
    <w:rsid w:val="00802124"/>
    <w:rsid w:val="00802582"/>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2C6"/>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616"/>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3B9"/>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04C9"/>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6732"/>
    <w:rsid w:val="0091718B"/>
    <w:rsid w:val="00917D1E"/>
    <w:rsid w:val="00917F8C"/>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3F9C"/>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9D3"/>
    <w:rsid w:val="00A07F05"/>
    <w:rsid w:val="00A10EB5"/>
    <w:rsid w:val="00A11EEA"/>
    <w:rsid w:val="00A126D7"/>
    <w:rsid w:val="00A12DE1"/>
    <w:rsid w:val="00A12FF2"/>
    <w:rsid w:val="00A136A3"/>
    <w:rsid w:val="00A13BAE"/>
    <w:rsid w:val="00A13D23"/>
    <w:rsid w:val="00A13E16"/>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6974"/>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249"/>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36F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3DD3"/>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6515"/>
    <w:rsid w:val="00BE6C48"/>
    <w:rsid w:val="00BE6D7D"/>
    <w:rsid w:val="00BE7019"/>
    <w:rsid w:val="00BE7CC9"/>
    <w:rsid w:val="00BF0A9C"/>
    <w:rsid w:val="00BF0D23"/>
    <w:rsid w:val="00BF1009"/>
    <w:rsid w:val="00BF1A30"/>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0E9"/>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6D3F"/>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1DB0"/>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1C16"/>
    <w:rsid w:val="00C527E3"/>
    <w:rsid w:val="00C5291B"/>
    <w:rsid w:val="00C52AE1"/>
    <w:rsid w:val="00C52B33"/>
    <w:rsid w:val="00C53D7C"/>
    <w:rsid w:val="00C548F6"/>
    <w:rsid w:val="00C54E48"/>
    <w:rsid w:val="00C55431"/>
    <w:rsid w:val="00C56307"/>
    <w:rsid w:val="00C56C0F"/>
    <w:rsid w:val="00C56D91"/>
    <w:rsid w:val="00C5712F"/>
    <w:rsid w:val="00C57694"/>
    <w:rsid w:val="00C57712"/>
    <w:rsid w:val="00C60048"/>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600"/>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D11"/>
    <w:rsid w:val="00C90C89"/>
    <w:rsid w:val="00C9104B"/>
    <w:rsid w:val="00C916BA"/>
    <w:rsid w:val="00C9174C"/>
    <w:rsid w:val="00C91EED"/>
    <w:rsid w:val="00C924F8"/>
    <w:rsid w:val="00C9321E"/>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5C9"/>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BC9"/>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521E"/>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E45"/>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20F1"/>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15B"/>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3993"/>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5A2"/>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44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9BD"/>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1484"/>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B52"/>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905"/>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1FA"/>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6B29"/>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B8E"/>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C6"/>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4608359">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49854942">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29796989">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8525100">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661220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3360964">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4663501">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5876115">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13806827">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3895376">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02237618">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0034533">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49915608">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47820116">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603133">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39096881">
      <w:bodyDiv w:val="1"/>
      <w:marLeft w:val="0"/>
      <w:marRight w:val="0"/>
      <w:marTop w:val="0"/>
      <w:marBottom w:val="0"/>
      <w:divBdr>
        <w:top w:val="none" w:sz="0" w:space="0" w:color="auto"/>
        <w:left w:val="none" w:sz="0" w:space="0" w:color="auto"/>
        <w:bottom w:val="none" w:sz="0" w:space="0" w:color="auto"/>
        <w:right w:val="none" w:sz="0" w:space="0" w:color="auto"/>
      </w:divBdr>
    </w:div>
    <w:div w:id="1243953963">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4725316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1957572">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374988">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0483328">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7140479">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27429766">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3D8F-3C2F-4ED3-9489-F12422F9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23</cp:revision>
  <cp:lastPrinted>2019-07-05T10:37:00Z</cp:lastPrinted>
  <dcterms:created xsi:type="dcterms:W3CDTF">2023-08-18T02:48:00Z</dcterms:created>
  <dcterms:modified xsi:type="dcterms:W3CDTF">2023-11-17T09:42:00Z</dcterms:modified>
</cp:coreProperties>
</file>